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592CC" w14:textId="77777777" w:rsidR="00D95962" w:rsidRDefault="00850293" w:rsidP="009837B6">
      <w:pPr>
        <w:pStyle w:val="BodyText"/>
        <w:tabs>
          <w:tab w:val="left" w:pos="2835"/>
        </w:tabs>
      </w:pPr>
      <w:r>
        <w:t>ANM</w:t>
      </w:r>
      <w:r w:rsidR="00795467">
        <w:t>20</w:t>
      </w:r>
      <w:r w:rsidR="0092692B">
        <w:tab/>
      </w:r>
      <w:r w:rsidR="0039466B">
        <w:t>Working Paper</w:t>
      </w:r>
    </w:p>
    <w:p w14:paraId="163D71FB" w14:textId="77777777" w:rsidR="00A446C9" w:rsidRDefault="00A446C9" w:rsidP="007B377F">
      <w:pPr>
        <w:pStyle w:val="BodyText"/>
        <w:tabs>
          <w:tab w:val="left" w:pos="2835"/>
        </w:tabs>
      </w:pPr>
      <w:r>
        <w:t>Agenda item</w:t>
      </w:r>
      <w:r w:rsidR="001C44A3">
        <w:tab/>
      </w:r>
      <w:r w:rsidR="0039466B">
        <w:t>9.2</w:t>
      </w:r>
    </w:p>
    <w:p w14:paraId="4E4A63CE" w14:textId="77777777" w:rsidR="00A446C9" w:rsidRDefault="00A446C9" w:rsidP="007B377F">
      <w:pPr>
        <w:pStyle w:val="BodyText"/>
        <w:tabs>
          <w:tab w:val="left" w:pos="2835"/>
        </w:tabs>
      </w:pPr>
      <w:r>
        <w:t>Task Number</w:t>
      </w:r>
      <w:r w:rsidR="001C44A3">
        <w:tab/>
      </w:r>
      <w:r w:rsidR="0039466B">
        <w:t>7</w:t>
      </w:r>
    </w:p>
    <w:p w14:paraId="16E3A377" w14:textId="77777777" w:rsidR="00362CD9" w:rsidRDefault="00556437" w:rsidP="007B377F">
      <w:pPr>
        <w:pStyle w:val="BodyText"/>
        <w:tabs>
          <w:tab w:val="left" w:pos="2835"/>
        </w:tabs>
      </w:pPr>
      <w:r>
        <w:t>Authors</w:t>
      </w:r>
      <w:r w:rsidR="00362CD9">
        <w:tab/>
      </w:r>
      <w:r w:rsidR="0039466B">
        <w:t xml:space="preserve">Bjorn Erik Krosness, </w:t>
      </w:r>
      <w:proofErr w:type="spellStart"/>
      <w:r w:rsidR="0039466B">
        <w:t>Minsu</w:t>
      </w:r>
      <w:proofErr w:type="spellEnd"/>
      <w:r w:rsidR="0039466B">
        <w:t xml:space="preserve"> </w:t>
      </w:r>
      <w:proofErr w:type="spellStart"/>
      <w:r w:rsidR="0039466B">
        <w:t>Jeon</w:t>
      </w:r>
      <w:proofErr w:type="spellEnd"/>
      <w:r w:rsidR="0039466B">
        <w:t xml:space="preserve">, Johan </w:t>
      </w:r>
      <w:proofErr w:type="spellStart"/>
      <w:r w:rsidR="0039466B">
        <w:t>Westerlund</w:t>
      </w:r>
      <w:proofErr w:type="spellEnd"/>
      <w:r w:rsidR="00894607">
        <w:t xml:space="preserve">, Wenzhi Yang, </w:t>
      </w:r>
      <w:r w:rsidR="00894607">
        <w:tab/>
        <w:t>Arlindo Santos</w:t>
      </w:r>
    </w:p>
    <w:p w14:paraId="3602C69A" w14:textId="77777777" w:rsidR="0039466B" w:rsidRDefault="0039466B" w:rsidP="0039466B">
      <w:pPr>
        <w:pStyle w:val="Title"/>
      </w:pPr>
      <w:r>
        <w:t>Development of guidance on issues derived from revision of the MBS</w:t>
      </w:r>
      <w:r w:rsidR="003B594C">
        <w:t xml:space="preserve"> and a proposal for the new work programme</w:t>
      </w:r>
    </w:p>
    <w:p w14:paraId="2389C888" w14:textId="77777777" w:rsidR="00A446C9" w:rsidRDefault="00A446C9" w:rsidP="00A446C9">
      <w:pPr>
        <w:pStyle w:val="Heading1"/>
      </w:pPr>
      <w:r>
        <w:t>Summary</w:t>
      </w:r>
    </w:p>
    <w:p w14:paraId="77DEC0ED" w14:textId="77777777" w:rsidR="00A307D8" w:rsidRDefault="00A307D8" w:rsidP="00A307D8">
      <w:pPr>
        <w:pStyle w:val="BodyText"/>
      </w:pPr>
      <w:r>
        <w:t>The new revised MBS 2010 retained its fundamental principles while it at the same time comprised a widening of scope by incorporating other aids to navigation.</w:t>
      </w:r>
    </w:p>
    <w:p w14:paraId="379C34CA" w14:textId="77777777" w:rsidR="00A307D8" w:rsidRDefault="00A50477" w:rsidP="00A307D8">
      <w:pPr>
        <w:pStyle w:val="BodyText"/>
      </w:pPr>
      <w:r>
        <w:t>T</w:t>
      </w:r>
      <w:r w:rsidR="00A307D8">
        <w:t xml:space="preserve">here </w:t>
      </w:r>
      <w:r>
        <w:t>is</w:t>
      </w:r>
      <w:r w:rsidR="00A307D8">
        <w:t xml:space="preserve"> a need for </w:t>
      </w:r>
      <w:r w:rsidR="00784825">
        <w:t xml:space="preserve">additional </w:t>
      </w:r>
      <w:r w:rsidR="00A307D8">
        <w:t>guidance</w:t>
      </w:r>
      <w:r w:rsidRPr="00A50477">
        <w:t xml:space="preserve"> </w:t>
      </w:r>
      <w:r>
        <w:t>regarding certain issues derived from the revision of the MBS</w:t>
      </w:r>
      <w:r w:rsidR="00A307D8">
        <w:t>.</w:t>
      </w:r>
    </w:p>
    <w:p w14:paraId="7EA20A69" w14:textId="77777777" w:rsidR="00A307D8" w:rsidRPr="00B56BDF" w:rsidRDefault="00417B61" w:rsidP="00A307D8">
      <w:pPr>
        <w:pStyle w:val="BodyText"/>
      </w:pPr>
      <w:r>
        <w:t>T</w:t>
      </w:r>
      <w:r w:rsidR="00A307D8">
        <w:t xml:space="preserve">his paper </w:t>
      </w:r>
      <w:r w:rsidR="00C85D9D">
        <w:t>proposes</w:t>
      </w:r>
      <w:r>
        <w:t xml:space="preserve"> guidance </w:t>
      </w:r>
      <w:r w:rsidR="00A307D8">
        <w:t xml:space="preserve">on these issues </w:t>
      </w:r>
      <w:r w:rsidR="00A50477">
        <w:t>in the form of an amendment to the IALA NAVGUIDE, and a proposal for the Work programme 2014-2018 to develop supplementary guidance for the use of Special Marks.</w:t>
      </w:r>
    </w:p>
    <w:p w14:paraId="297666F7" w14:textId="77777777" w:rsidR="00B56BDF" w:rsidRDefault="00B56BDF" w:rsidP="00B56BDF">
      <w:pPr>
        <w:pStyle w:val="Heading2"/>
      </w:pPr>
      <w:r>
        <w:t>Related documents</w:t>
      </w:r>
    </w:p>
    <w:p w14:paraId="3E58DF48" w14:textId="77777777" w:rsidR="00A307D8" w:rsidRDefault="00A307D8" w:rsidP="00A307D8">
      <w:pPr>
        <w:pStyle w:val="BodyText"/>
        <w:numPr>
          <w:ilvl w:val="0"/>
          <w:numId w:val="45"/>
        </w:numPr>
      </w:pPr>
      <w:r>
        <w:t>IALA Maritime Buoyage System</w:t>
      </w:r>
      <w:r w:rsidR="00417B61">
        <w:t xml:space="preserve"> and other Aids to Navigation</w:t>
      </w:r>
      <w:r>
        <w:rPr>
          <w:rStyle w:val="FootnoteReference"/>
        </w:rPr>
        <w:footnoteReference w:id="1"/>
      </w:r>
    </w:p>
    <w:p w14:paraId="727AA6EB" w14:textId="77777777" w:rsidR="00A307D8" w:rsidRPr="00331418" w:rsidRDefault="00A307D8" w:rsidP="00A307D8">
      <w:pPr>
        <w:pStyle w:val="Bullet2"/>
        <w:numPr>
          <w:ilvl w:val="0"/>
          <w:numId w:val="45"/>
        </w:numPr>
      </w:pPr>
      <w:r w:rsidRPr="003E2078">
        <w:t>IALA Maritime Buoyage System Guidelines 1983</w:t>
      </w:r>
    </w:p>
    <w:p w14:paraId="66627670" w14:textId="77777777" w:rsidR="00A446C9" w:rsidRDefault="00A307D8" w:rsidP="003B594C">
      <w:pPr>
        <w:pStyle w:val="BodyText"/>
        <w:numPr>
          <w:ilvl w:val="0"/>
          <w:numId w:val="45"/>
        </w:numPr>
      </w:pPr>
      <w:r w:rsidRPr="00331418">
        <w:t xml:space="preserve">The summary and conclusions of the MBS stakeholder </w:t>
      </w:r>
      <w:r>
        <w:t>survey</w:t>
      </w:r>
    </w:p>
    <w:p w14:paraId="6A668445" w14:textId="77777777" w:rsidR="00A446C9" w:rsidRDefault="00556437" w:rsidP="00A446C9">
      <w:pPr>
        <w:pStyle w:val="Heading1"/>
      </w:pPr>
      <w:r>
        <w:t>amend</w:t>
      </w:r>
      <w:r w:rsidR="00894607">
        <w:t>ment</w:t>
      </w:r>
      <w:r w:rsidR="00724A0B">
        <w:t>s</w:t>
      </w:r>
      <w:r w:rsidR="00894607">
        <w:t xml:space="preserve"> to</w:t>
      </w:r>
      <w:r w:rsidR="00787881">
        <w:t xml:space="preserve"> </w:t>
      </w:r>
      <w:r>
        <w:t>the iala navguide</w:t>
      </w:r>
    </w:p>
    <w:p w14:paraId="79ED463F" w14:textId="77777777" w:rsidR="00556437" w:rsidRPr="00556437" w:rsidRDefault="00556437" w:rsidP="00556437">
      <w:pPr>
        <w:pStyle w:val="BodyText"/>
        <w:rPr>
          <w:lang w:eastAsia="de-DE"/>
        </w:rPr>
      </w:pPr>
      <w:r>
        <w:rPr>
          <w:lang w:eastAsia="de-DE"/>
        </w:rPr>
        <w:t>The proposed amend</w:t>
      </w:r>
      <w:r w:rsidR="00894607">
        <w:rPr>
          <w:lang w:eastAsia="de-DE"/>
        </w:rPr>
        <w:t>ment</w:t>
      </w:r>
      <w:r w:rsidR="00724A0B">
        <w:rPr>
          <w:lang w:eastAsia="de-DE"/>
        </w:rPr>
        <w:t>s</w:t>
      </w:r>
      <w:r w:rsidR="00894607">
        <w:rPr>
          <w:lang w:eastAsia="de-DE"/>
        </w:rPr>
        <w:t xml:space="preserve"> to </w:t>
      </w:r>
      <w:r>
        <w:rPr>
          <w:lang w:eastAsia="de-DE"/>
        </w:rPr>
        <w:t>the IALA NAVGUIDE</w:t>
      </w:r>
      <w:r w:rsidR="00E734C9">
        <w:rPr>
          <w:lang w:eastAsia="de-DE"/>
        </w:rPr>
        <w:t xml:space="preserve"> </w:t>
      </w:r>
      <w:r w:rsidR="0012670B">
        <w:rPr>
          <w:lang w:eastAsia="de-DE"/>
        </w:rPr>
        <w:t xml:space="preserve">(ref. paragraph 3.2.6) </w:t>
      </w:r>
      <w:r w:rsidR="00E734C9">
        <w:rPr>
          <w:lang w:eastAsia="de-DE"/>
        </w:rPr>
        <w:t>comprise</w:t>
      </w:r>
      <w:r w:rsidR="00894607">
        <w:rPr>
          <w:lang w:eastAsia="de-DE"/>
        </w:rPr>
        <w:t xml:space="preserve"> a general introduction to the IALA Maritime Buoyage System and </w:t>
      </w:r>
      <w:r w:rsidR="00724A0B">
        <w:rPr>
          <w:lang w:eastAsia="de-DE"/>
        </w:rPr>
        <w:t xml:space="preserve">complementary </w:t>
      </w:r>
      <w:r w:rsidR="00894607">
        <w:rPr>
          <w:lang w:eastAsia="de-DE"/>
        </w:rPr>
        <w:t>guidance</w:t>
      </w:r>
      <w:r w:rsidR="00E734C9">
        <w:rPr>
          <w:lang w:eastAsia="de-DE"/>
        </w:rPr>
        <w:t xml:space="preserve"> to it</w:t>
      </w:r>
      <w:r w:rsidR="00724A0B">
        <w:rPr>
          <w:lang w:eastAsia="de-DE"/>
        </w:rPr>
        <w:t>.</w:t>
      </w:r>
      <w:r w:rsidR="0012670B">
        <w:rPr>
          <w:lang w:eastAsia="de-DE"/>
        </w:rPr>
        <w:t xml:space="preserve"> </w:t>
      </w:r>
    </w:p>
    <w:p w14:paraId="1EACD068" w14:textId="77777777" w:rsidR="00263BD9" w:rsidRDefault="00A96DBD" w:rsidP="004B67DB">
      <w:pPr>
        <w:pStyle w:val="BodyText"/>
      </w:pPr>
      <w:r>
        <w:t>1.</w:t>
      </w:r>
      <w:r w:rsidR="00263BD9">
        <w:t xml:space="preserve"> IALA Maritime Buoyage System (MBS)</w:t>
      </w:r>
    </w:p>
    <w:p w14:paraId="66C3E073" w14:textId="77777777" w:rsidR="00263BD9" w:rsidRPr="00263BD9" w:rsidRDefault="00263BD9" w:rsidP="004B67DB">
      <w:pPr>
        <w:pStyle w:val="BodyText"/>
      </w:pPr>
      <w:r w:rsidRPr="00263BD9">
        <w:t xml:space="preserve">The </w:t>
      </w:r>
      <w:r w:rsidR="00724A0B">
        <w:t xml:space="preserve">IALA </w:t>
      </w:r>
      <w:r w:rsidRPr="00263BD9">
        <w:t xml:space="preserve">Maritime Buoyage System </w:t>
      </w:r>
      <w:r w:rsidR="00724A0B">
        <w:t xml:space="preserve">(MBS) </w:t>
      </w:r>
      <w:r w:rsidRPr="00263BD9">
        <w:t xml:space="preserve">represents one of IALA’s major contributions to enhancing the safety of navigation. As recently as 1976 there were more than thirty buoyage systems in use worldwide and conflicting sets of rules applied. In 1980 Lighthouse Authorities from fifty countries and representatives from nine international organisations reached agreement on the rules for a single system. In 2010 the </w:t>
      </w:r>
      <w:r w:rsidR="004B67DB">
        <w:t>MBS</w:t>
      </w:r>
      <w:r w:rsidRPr="00263BD9">
        <w:t xml:space="preserve"> was revised</w:t>
      </w:r>
      <w:r w:rsidR="004B67DB">
        <w:t>.</w:t>
      </w:r>
      <w:r w:rsidRPr="00263BD9">
        <w:t xml:space="preserve"> Key changes made included the introduction of an emergency wreck marking buoy and fixed marks. The full name of the revised system is therefore IALA Maritime Buoyage System and other Aids to Navigation, </w:t>
      </w:r>
      <w:r w:rsidR="00787881">
        <w:t>still being referred to as the</w:t>
      </w:r>
      <w:r w:rsidRPr="00263BD9">
        <w:t xml:space="preserve"> MBS.</w:t>
      </w:r>
    </w:p>
    <w:p w14:paraId="03867E3D" w14:textId="77777777" w:rsidR="00263BD9" w:rsidRPr="00263BD9" w:rsidRDefault="004B67DB" w:rsidP="004B67DB">
      <w:pPr>
        <w:pStyle w:val="BodyText"/>
      </w:pPr>
      <w:r>
        <w:t>The MBS</w:t>
      </w:r>
      <w:r w:rsidR="00263BD9" w:rsidRPr="00263BD9">
        <w:t xml:space="preserve"> uses 7 types of </w:t>
      </w:r>
      <w:r w:rsidR="00552B52">
        <w:t>Aids to Navigation</w:t>
      </w:r>
      <w:r w:rsidR="00263BD9" w:rsidRPr="00263BD9">
        <w:t xml:space="preserve">, which may be used in combination. The mariner can distinguish between these </w:t>
      </w:r>
      <w:r w:rsidR="00552B52">
        <w:t>aids</w:t>
      </w:r>
      <w:r w:rsidR="00263BD9" w:rsidRPr="00263BD9">
        <w:t xml:space="preserve"> by identifiable characteristics. The system includes:</w:t>
      </w:r>
    </w:p>
    <w:p w14:paraId="59A59132" w14:textId="77777777" w:rsidR="00263BD9" w:rsidRDefault="00263BD9" w:rsidP="004B67DB">
      <w:pPr>
        <w:pStyle w:val="BodyText"/>
        <w:numPr>
          <w:ilvl w:val="0"/>
          <w:numId w:val="44"/>
        </w:numPr>
      </w:pPr>
      <w:r>
        <w:t>Lateral marks</w:t>
      </w:r>
    </w:p>
    <w:p w14:paraId="3FC01D5B" w14:textId="77777777" w:rsidR="00263BD9" w:rsidRDefault="00263BD9" w:rsidP="004B67DB">
      <w:pPr>
        <w:pStyle w:val="BodyText"/>
        <w:numPr>
          <w:ilvl w:val="0"/>
          <w:numId w:val="44"/>
        </w:numPr>
      </w:pPr>
      <w:r>
        <w:t>Cardinal</w:t>
      </w:r>
      <w:r w:rsidDel="009B165F">
        <w:t xml:space="preserve"> </w:t>
      </w:r>
      <w:r>
        <w:t>marks</w:t>
      </w:r>
    </w:p>
    <w:p w14:paraId="4832FF01" w14:textId="77777777" w:rsidR="00263BD9" w:rsidRDefault="00263BD9" w:rsidP="004B67DB">
      <w:pPr>
        <w:pStyle w:val="BodyText"/>
        <w:numPr>
          <w:ilvl w:val="0"/>
          <w:numId w:val="44"/>
        </w:numPr>
      </w:pPr>
      <w:r>
        <w:t>Isolated danger marks</w:t>
      </w:r>
    </w:p>
    <w:p w14:paraId="676DA61F" w14:textId="77777777" w:rsidR="00263BD9" w:rsidRDefault="00263BD9" w:rsidP="004B67DB">
      <w:pPr>
        <w:pStyle w:val="BodyText"/>
        <w:numPr>
          <w:ilvl w:val="0"/>
          <w:numId w:val="44"/>
        </w:numPr>
      </w:pPr>
      <w:r>
        <w:t>Safe Water marks</w:t>
      </w:r>
    </w:p>
    <w:p w14:paraId="748AEE84" w14:textId="77777777" w:rsidR="00263BD9" w:rsidRDefault="00263BD9" w:rsidP="004B67DB">
      <w:pPr>
        <w:pStyle w:val="BodyText"/>
        <w:numPr>
          <w:ilvl w:val="0"/>
          <w:numId w:val="44"/>
        </w:numPr>
      </w:pPr>
      <w:r>
        <w:t>Special marks</w:t>
      </w:r>
    </w:p>
    <w:p w14:paraId="10ED3671" w14:textId="77777777" w:rsidR="00263BD9" w:rsidRDefault="00263BD9" w:rsidP="004B67DB">
      <w:pPr>
        <w:pStyle w:val="BodyText"/>
        <w:numPr>
          <w:ilvl w:val="0"/>
          <w:numId w:val="44"/>
        </w:numPr>
      </w:pPr>
      <w:r>
        <w:t>Emergency Wreck Marking Buoy</w:t>
      </w:r>
    </w:p>
    <w:p w14:paraId="774E4385" w14:textId="77777777" w:rsidR="00263BD9" w:rsidRDefault="00263BD9" w:rsidP="004B67DB">
      <w:pPr>
        <w:pStyle w:val="BodyText"/>
        <w:numPr>
          <w:ilvl w:val="0"/>
          <w:numId w:val="44"/>
        </w:numPr>
      </w:pPr>
      <w:r>
        <w:t>Other marks</w:t>
      </w:r>
    </w:p>
    <w:p w14:paraId="1081478C" w14:textId="77777777" w:rsidR="00263BD9" w:rsidRDefault="00263BD9" w:rsidP="004B67DB">
      <w:pPr>
        <w:pStyle w:val="BodyText"/>
      </w:pPr>
    </w:p>
    <w:p w14:paraId="4AA26DA5" w14:textId="77777777" w:rsidR="00263BD9" w:rsidRPr="00263BD9" w:rsidRDefault="00263BD9" w:rsidP="004B67DB">
      <w:pPr>
        <w:pStyle w:val="BodyText"/>
      </w:pPr>
      <w:r w:rsidRPr="00263BD9">
        <w:t xml:space="preserve">The General Principles and Rules of the IALA Maritime Buoyage System can be found in Annex A. </w:t>
      </w:r>
    </w:p>
    <w:p w14:paraId="54553E17" w14:textId="77777777" w:rsidR="00263BD9" w:rsidRPr="00263BD9" w:rsidRDefault="00263BD9" w:rsidP="004B67DB">
      <w:pPr>
        <w:pStyle w:val="BodyText"/>
      </w:pPr>
      <w:r w:rsidRPr="00263BD9">
        <w:t>Additional considerations on using the MBS</w:t>
      </w:r>
      <w:r w:rsidR="004B67DB">
        <w:t>:</w:t>
      </w:r>
    </w:p>
    <w:p w14:paraId="653BC874" w14:textId="77777777" w:rsidR="00263BD9" w:rsidRPr="005E2F9A" w:rsidRDefault="00263BD9" w:rsidP="004B67DB">
      <w:pPr>
        <w:pStyle w:val="BodyText"/>
        <w:rPr>
          <w:b/>
        </w:rPr>
      </w:pPr>
      <w:r w:rsidRPr="005E2F9A">
        <w:rPr>
          <w:b/>
        </w:rPr>
        <w:t>Cardinal Marks</w:t>
      </w:r>
    </w:p>
    <w:p w14:paraId="4185EAA6" w14:textId="77777777" w:rsidR="005E2F9A" w:rsidRDefault="005E2F9A" w:rsidP="004B67DB">
      <w:pPr>
        <w:pStyle w:val="BodyText"/>
      </w:pPr>
      <w:r>
        <w:t>As stated in paragraph 3.2.4 of</w:t>
      </w:r>
      <w:r w:rsidR="00263BD9" w:rsidRPr="00263BD9">
        <w:t xml:space="preserve"> the MBS</w:t>
      </w:r>
      <w:r>
        <w:t>,</w:t>
      </w:r>
      <w:r w:rsidR="00263BD9" w:rsidRPr="00263BD9">
        <w:t xml:space="preserve"> it is very important to take into consideration possible confusion when using a nu</w:t>
      </w:r>
      <w:r>
        <w:t xml:space="preserve">mber of Cardinal Marks in </w:t>
      </w:r>
      <w:r w:rsidR="00003044">
        <w:t>proximity to</w:t>
      </w:r>
      <w:r w:rsidR="00003044" w:rsidRPr="00263BD9">
        <w:t xml:space="preserve"> each other</w:t>
      </w:r>
      <w:r w:rsidR="00263BD9" w:rsidRPr="00263BD9">
        <w:t>.</w:t>
      </w:r>
      <w:r>
        <w:t xml:space="preserve"> </w:t>
      </w:r>
      <w:r w:rsidR="00787881">
        <w:t xml:space="preserve">The </w:t>
      </w:r>
      <w:r w:rsidR="00552B52">
        <w:t>Competent Authority</w:t>
      </w:r>
      <w:r w:rsidR="00263BD9" w:rsidRPr="00263BD9">
        <w:t xml:space="preserve"> should therefore be cautious in the use of cardinal marks when planning the overall AtoN system in a specific area.</w:t>
      </w:r>
    </w:p>
    <w:p w14:paraId="4987BA58" w14:textId="77777777" w:rsidR="00263BD9" w:rsidRPr="00263BD9" w:rsidRDefault="005E2F9A" w:rsidP="004B67DB">
      <w:pPr>
        <w:pStyle w:val="BodyText"/>
      </w:pPr>
      <w:r>
        <w:t>In areas with large tidal ranges</w:t>
      </w:r>
      <w:r w:rsidR="00263BD9" w:rsidRPr="00263BD9">
        <w:t xml:space="preserve"> the colour scheme for identification should be above </w:t>
      </w:r>
      <w:r>
        <w:t xml:space="preserve">the </w:t>
      </w:r>
      <w:r w:rsidR="00263BD9" w:rsidRPr="00263BD9">
        <w:t>Highest Astronomical Tide (HAT).</w:t>
      </w:r>
    </w:p>
    <w:p w14:paraId="7704AC37" w14:textId="77777777" w:rsidR="00263BD9" w:rsidRPr="005E2F9A" w:rsidRDefault="00263BD9" w:rsidP="004B67DB">
      <w:pPr>
        <w:pStyle w:val="BodyText"/>
        <w:rPr>
          <w:b/>
        </w:rPr>
      </w:pPr>
      <w:r w:rsidRPr="005E2F9A">
        <w:rPr>
          <w:b/>
        </w:rPr>
        <w:t>Isolated Danger Marks</w:t>
      </w:r>
    </w:p>
    <w:p w14:paraId="094FA98D" w14:textId="77777777" w:rsidR="00263BD9" w:rsidRPr="00263BD9" w:rsidRDefault="00263BD9" w:rsidP="004B67DB">
      <w:pPr>
        <w:pStyle w:val="BodyText"/>
      </w:pPr>
      <w:r w:rsidRPr="00263BD9">
        <w:t xml:space="preserve">The extent of a danger is often not uniform, and the </w:t>
      </w:r>
      <w:r w:rsidR="003B1831">
        <w:t xml:space="preserve">nautical </w:t>
      </w:r>
      <w:r w:rsidRPr="00263BD9">
        <w:t>chart should be consulted to verify its extent.</w:t>
      </w:r>
    </w:p>
    <w:p w14:paraId="50284B88" w14:textId="77777777" w:rsidR="00263BD9" w:rsidRPr="00263BD9" w:rsidRDefault="00263BD9" w:rsidP="004B67DB">
      <w:pPr>
        <w:pStyle w:val="BodyText"/>
      </w:pPr>
      <w:r w:rsidRPr="00263BD9">
        <w:t>When planning the overall AtoN system the Competent Authorit</w:t>
      </w:r>
      <w:r w:rsidR="00552B52">
        <w:t>y</w:t>
      </w:r>
      <w:r w:rsidRPr="00263BD9">
        <w:t xml:space="preserve"> should if possible ensure that Isolated Danger Marks are used only to mark dangers where there </w:t>
      </w:r>
      <w:r w:rsidR="00003044">
        <w:t>is</w:t>
      </w:r>
      <w:r w:rsidR="005E2F9A">
        <w:t xml:space="preserve"> navigable water all</w:t>
      </w:r>
      <w:r w:rsidR="00847FA1">
        <w:t>-</w:t>
      </w:r>
      <w:r w:rsidRPr="00263BD9">
        <w:t>round.</w:t>
      </w:r>
    </w:p>
    <w:p w14:paraId="34E67AEC" w14:textId="77777777" w:rsidR="00263BD9" w:rsidRPr="005E2F9A" w:rsidRDefault="00263BD9" w:rsidP="004B67DB">
      <w:pPr>
        <w:pStyle w:val="BodyText"/>
        <w:rPr>
          <w:b/>
        </w:rPr>
      </w:pPr>
      <w:r w:rsidRPr="005E2F9A">
        <w:rPr>
          <w:b/>
        </w:rPr>
        <w:t>Special Marks</w:t>
      </w:r>
    </w:p>
    <w:p w14:paraId="09067366" w14:textId="77777777" w:rsidR="00263BD9" w:rsidRPr="00263BD9" w:rsidRDefault="00591D9C" w:rsidP="004B67DB">
      <w:pPr>
        <w:pStyle w:val="BodyText"/>
      </w:pPr>
      <w:r>
        <w:t>Although S</w:t>
      </w:r>
      <w:r w:rsidR="00263BD9" w:rsidRPr="00263BD9">
        <w:t>pecial Marks are not generally intended to mark channels or obstructions, these could be used where there is a specific need for navigational guidance and where other marks would not be suitable.</w:t>
      </w:r>
      <w:r w:rsidR="00847FA1">
        <w:t xml:space="preserve"> F</w:t>
      </w:r>
      <w:r w:rsidR="00263BD9" w:rsidRPr="00263BD9">
        <w:t>or example</w:t>
      </w:r>
      <w:r w:rsidR="00847FA1">
        <w:t>,</w:t>
      </w:r>
      <w:r w:rsidR="00263BD9" w:rsidRPr="00263BD9">
        <w:t xml:space="preserve"> to define a </w:t>
      </w:r>
      <w:r w:rsidR="0077319C">
        <w:t>route</w:t>
      </w:r>
      <w:r w:rsidR="00263BD9" w:rsidRPr="00263BD9">
        <w:t xml:space="preserve"> within a channel, such as for deep draught </w:t>
      </w:r>
      <w:r w:rsidR="00847FA1">
        <w:t>vessel</w:t>
      </w:r>
      <w:r w:rsidR="00263BD9" w:rsidRPr="00263BD9">
        <w:t xml:space="preserve">s in a </w:t>
      </w:r>
      <w:r w:rsidR="00A83B69">
        <w:t>fairway</w:t>
      </w:r>
      <w:r w:rsidR="00263BD9" w:rsidRPr="00263BD9">
        <w:t xml:space="preserve"> marked by lateral </w:t>
      </w:r>
      <w:r w:rsidR="009A04DF">
        <w:t>marks</w:t>
      </w:r>
      <w:r w:rsidR="00263BD9" w:rsidRPr="00263BD9">
        <w:t>, or special purpose channels for small craft.</w:t>
      </w:r>
    </w:p>
    <w:p w14:paraId="5785C45B" w14:textId="77777777" w:rsidR="00263BD9" w:rsidRPr="00263BD9" w:rsidRDefault="00003044" w:rsidP="004B67DB">
      <w:pPr>
        <w:pStyle w:val="BodyText"/>
      </w:pPr>
      <w:r>
        <w:t xml:space="preserve">The </w:t>
      </w:r>
      <w:r w:rsidR="00263BD9" w:rsidRPr="00263BD9">
        <w:t>Competent Authorit</w:t>
      </w:r>
      <w:r>
        <w:t>y</w:t>
      </w:r>
      <w:r w:rsidR="00263BD9" w:rsidRPr="00263BD9">
        <w:t xml:space="preserve"> should </w:t>
      </w:r>
      <w:r>
        <w:t>be aware</w:t>
      </w:r>
      <w:r w:rsidR="00263BD9" w:rsidRPr="00263BD9">
        <w:t xml:space="preserve"> that when Special Marks are used for different purposes </w:t>
      </w:r>
      <w:r w:rsidR="00847FA1">
        <w:t xml:space="preserve">in </w:t>
      </w:r>
      <w:r>
        <w:t xml:space="preserve">proximity to </w:t>
      </w:r>
      <w:r w:rsidR="00263BD9" w:rsidRPr="00263BD9">
        <w:t>each other it may be difficult for mariners to distinguish between them. In such situations the use of other marks may be more appropriate.</w:t>
      </w:r>
      <w:r w:rsidR="00847FA1">
        <w:t xml:space="preserve"> </w:t>
      </w:r>
      <w:r w:rsidR="00263BD9" w:rsidRPr="00263BD9">
        <w:t>The use of Special Marks with pictograms could also be considered.</w:t>
      </w:r>
    </w:p>
    <w:p w14:paraId="41CAA8A8" w14:textId="77777777" w:rsidR="00263BD9" w:rsidRPr="00847FA1" w:rsidRDefault="00263BD9" w:rsidP="004B67DB">
      <w:pPr>
        <w:pStyle w:val="BodyText"/>
        <w:rPr>
          <w:b/>
        </w:rPr>
      </w:pPr>
      <w:r w:rsidRPr="00847FA1">
        <w:rPr>
          <w:b/>
        </w:rPr>
        <w:t>Emergency Wreck Marking Buoy</w:t>
      </w:r>
    </w:p>
    <w:p w14:paraId="16B50775" w14:textId="77777777" w:rsidR="0009618C" w:rsidRPr="00263BD9" w:rsidRDefault="0009618C" w:rsidP="0009618C">
      <w:pPr>
        <w:pStyle w:val="BodyText"/>
      </w:pPr>
      <w:bookmarkStart w:id="0" w:name="OLE_LINK1"/>
      <w:bookmarkStart w:id="1" w:name="OLE_LINK2"/>
      <w:r w:rsidRPr="00263BD9">
        <w:t xml:space="preserve">The </w:t>
      </w:r>
      <w:r w:rsidR="00847FA1">
        <w:t>Emergency Wreck Marking Buoy (</w:t>
      </w:r>
      <w:r w:rsidRPr="00263BD9">
        <w:t>E</w:t>
      </w:r>
      <w:r>
        <w:t>WMB</w:t>
      </w:r>
      <w:r w:rsidR="00847FA1">
        <w:t>)</w:t>
      </w:r>
      <w:r>
        <w:t xml:space="preserve"> is meant for </w:t>
      </w:r>
      <w:r w:rsidR="00DE2A3E">
        <w:t xml:space="preserve">prompt </w:t>
      </w:r>
      <w:r>
        <w:t xml:space="preserve">response to </w:t>
      </w:r>
      <w:r w:rsidR="00DE2A3E">
        <w:t xml:space="preserve">mark </w:t>
      </w:r>
      <w:r>
        <w:t>new d</w:t>
      </w:r>
      <w:r w:rsidRPr="00263BD9">
        <w:t>anger</w:t>
      </w:r>
      <w:r w:rsidR="00DE2A3E">
        <w:t>s</w:t>
      </w:r>
      <w:r w:rsidRPr="0009618C">
        <w:t xml:space="preserve"> </w:t>
      </w:r>
      <w:r w:rsidRPr="00263BD9">
        <w:t xml:space="preserve">such as a wreck. It should </w:t>
      </w:r>
      <w:r>
        <w:t>therefore</w:t>
      </w:r>
      <w:r w:rsidRPr="00263BD9">
        <w:t xml:space="preserve"> only be on station until the Competent Authority is satisfied that </w:t>
      </w:r>
      <w:r>
        <w:t xml:space="preserve">information concerning the new danger has been sufficiently promulgated or the danger </w:t>
      </w:r>
      <w:r w:rsidR="00FF1E2B">
        <w:t xml:space="preserve">is </w:t>
      </w:r>
      <w:r>
        <w:t xml:space="preserve">otherwise </w:t>
      </w:r>
      <w:r w:rsidRPr="00263BD9">
        <w:t xml:space="preserve">resolved. </w:t>
      </w:r>
      <w:bookmarkEnd w:id="0"/>
      <w:bookmarkEnd w:id="1"/>
      <w:r w:rsidR="006B2642">
        <w:t>An appropriate risk assessment should be used to determine how long the EWMB shou</w:t>
      </w:r>
      <w:r w:rsidR="00853431">
        <w:t>l</w:t>
      </w:r>
      <w:r w:rsidR="006B2642">
        <w:t xml:space="preserve">d be deployed.  </w:t>
      </w:r>
      <w:r w:rsidRPr="00263BD9">
        <w:t xml:space="preserve">If </w:t>
      </w:r>
      <w:r w:rsidR="00FF1E2B">
        <w:t xml:space="preserve">the new </w:t>
      </w:r>
      <w:r w:rsidRPr="00263BD9">
        <w:t>danger is expected to remain</w:t>
      </w:r>
      <w:r w:rsidR="00847FA1">
        <w:t>,</w:t>
      </w:r>
      <w:r w:rsidRPr="00263BD9">
        <w:t xml:space="preserve"> the Competent Authority should mark it with a regular marking scheme</w:t>
      </w:r>
      <w:r w:rsidR="00FF1E2B">
        <w:t>.</w:t>
      </w:r>
    </w:p>
    <w:p w14:paraId="39EBBF7D" w14:textId="77777777" w:rsidR="00263BD9" w:rsidRDefault="004A1869" w:rsidP="004B67DB">
      <w:pPr>
        <w:pStyle w:val="BodyText"/>
      </w:pPr>
      <w:r w:rsidRPr="00263BD9">
        <w:t xml:space="preserve">The EWMB should be equipped and of a size that facilitates its detection under all </w:t>
      </w:r>
      <w:r w:rsidR="00847FA1">
        <w:t>sea</w:t>
      </w:r>
      <w:r w:rsidRPr="00263BD9">
        <w:t xml:space="preserve"> conditions.</w:t>
      </w:r>
      <w:r w:rsidR="00233395">
        <w:t xml:space="preserve"> </w:t>
      </w:r>
      <w:r w:rsidRPr="00263BD9">
        <w:t xml:space="preserve"> </w:t>
      </w:r>
      <w:r w:rsidR="007C60A1">
        <w:t>U</w:t>
      </w:r>
      <w:r w:rsidR="00263BD9" w:rsidRPr="00263BD9">
        <w:t xml:space="preserve">pon </w:t>
      </w:r>
      <w:r w:rsidR="007C60A1">
        <w:t xml:space="preserve">a decision to use the EWMB, it should be </w:t>
      </w:r>
      <w:r w:rsidR="007C60A1" w:rsidRPr="00263BD9">
        <w:t>deployed without unnecessary delay</w:t>
      </w:r>
      <w:r w:rsidR="00263BD9" w:rsidRPr="00263BD9">
        <w:t>. This can be</w:t>
      </w:r>
      <w:r w:rsidR="00FF1E2B">
        <w:t xml:space="preserve"> met by the use of EWMBs that are</w:t>
      </w:r>
      <w:r w:rsidR="00263BD9" w:rsidRPr="00263BD9">
        <w:t xml:space="preserve"> stored onboard a vessel ready for deployment.</w:t>
      </w:r>
      <w:r w:rsidR="00FF1E2B">
        <w:t xml:space="preserve"> </w:t>
      </w:r>
      <w:r w:rsidR="004B67DB">
        <w:t>I</w:t>
      </w:r>
      <w:r w:rsidR="00263BD9" w:rsidRPr="00263BD9">
        <w:t xml:space="preserve">t </w:t>
      </w:r>
      <w:r w:rsidR="008F5F28">
        <w:t>should</w:t>
      </w:r>
      <w:r w:rsidR="00263BD9" w:rsidRPr="00263BD9">
        <w:t xml:space="preserve"> be taken into consideration that a smaller buoy</w:t>
      </w:r>
      <w:r w:rsidR="00847FA1">
        <w:t>,</w:t>
      </w:r>
      <w:r w:rsidR="00263BD9" w:rsidRPr="00263BD9">
        <w:t xml:space="preserve"> </w:t>
      </w:r>
      <w:r w:rsidR="008F5F28">
        <w:t>in some instances</w:t>
      </w:r>
      <w:r w:rsidR="00847FA1">
        <w:t xml:space="preserve">, </w:t>
      </w:r>
      <w:r w:rsidR="00263BD9" w:rsidRPr="00263BD9">
        <w:t xml:space="preserve">may be </w:t>
      </w:r>
      <w:r w:rsidR="008F5F28">
        <w:t xml:space="preserve">deployed </w:t>
      </w:r>
      <w:r w:rsidR="00263BD9" w:rsidRPr="00263BD9">
        <w:t xml:space="preserve">more </w:t>
      </w:r>
      <w:r w:rsidR="008F5F28">
        <w:t>rapidly</w:t>
      </w:r>
      <w:r w:rsidR="00847FA1">
        <w:t>. I</w:t>
      </w:r>
      <w:r w:rsidR="008F5F28">
        <w:t xml:space="preserve">f necessary </w:t>
      </w:r>
      <w:r w:rsidR="00847FA1">
        <w:t xml:space="preserve">it </w:t>
      </w:r>
      <w:r w:rsidR="008F5F28">
        <w:t xml:space="preserve">could </w:t>
      </w:r>
      <w:r w:rsidR="00847FA1">
        <w:t xml:space="preserve">subsequently </w:t>
      </w:r>
      <w:r w:rsidR="00C05C75">
        <w:t xml:space="preserve">be </w:t>
      </w:r>
      <w:r w:rsidR="008F5F28">
        <w:t>replaced with a larger buoy.</w:t>
      </w:r>
    </w:p>
    <w:p w14:paraId="241DE9CA" w14:textId="77777777" w:rsidR="00263BD9" w:rsidRDefault="00263BD9" w:rsidP="004B67DB">
      <w:pPr>
        <w:pStyle w:val="BodyText"/>
      </w:pPr>
      <w:r>
        <w:t>Refer to IALA publications:</w:t>
      </w:r>
      <w:bookmarkStart w:id="2" w:name="_GoBack"/>
      <w:bookmarkEnd w:id="2"/>
    </w:p>
    <w:p w14:paraId="2A9EB9E2" w14:textId="77777777" w:rsidR="00263BD9" w:rsidRPr="002B222A" w:rsidRDefault="00263BD9" w:rsidP="004B67DB">
      <w:pPr>
        <w:pStyle w:val="BodyText"/>
        <w:rPr>
          <w:i/>
        </w:rPr>
      </w:pPr>
      <w:r>
        <w:rPr>
          <w:i/>
        </w:rPr>
        <w:tab/>
      </w:r>
      <w:hyperlink r:id="rId8" w:history="1">
        <w:r w:rsidRPr="002B222A">
          <w:rPr>
            <w:rStyle w:val="Hyperlink"/>
            <w:i/>
          </w:rPr>
          <w:t>IALA Maritime Buoyage System</w:t>
        </w:r>
      </w:hyperlink>
      <w:r w:rsidRPr="002B222A">
        <w:rPr>
          <w:i/>
        </w:rPr>
        <w:t xml:space="preserve"> and other Aids to Navigation</w:t>
      </w:r>
    </w:p>
    <w:p w14:paraId="264DE23A" w14:textId="77777777" w:rsidR="00DA6DB8" w:rsidRPr="002B222A" w:rsidRDefault="00263BD9" w:rsidP="00E734C9">
      <w:pPr>
        <w:pStyle w:val="BodyText"/>
        <w:rPr>
          <w:i/>
        </w:rPr>
      </w:pPr>
      <w:r>
        <w:rPr>
          <w:i/>
        </w:rPr>
        <w:tab/>
      </w:r>
      <w:hyperlink r:id="rId9" w:history="1">
        <w:r>
          <w:rPr>
            <w:rStyle w:val="Hyperlink"/>
            <w:i/>
          </w:rPr>
          <w:t>IALA Guideline 1046 on a Response Plan for the Marking of New Wrecks</w:t>
        </w:r>
      </w:hyperlink>
    </w:p>
    <w:p w14:paraId="14EC9DB8" w14:textId="77777777" w:rsidR="00F25BF4" w:rsidRDefault="00A96DBD" w:rsidP="00E734C9">
      <w:pPr>
        <w:pStyle w:val="Heading1"/>
      </w:pPr>
      <w:r>
        <w:t xml:space="preserve">proposal for the </w:t>
      </w:r>
      <w:r w:rsidR="00E734C9">
        <w:t xml:space="preserve">Work programme 2014-2018 </w:t>
      </w:r>
    </w:p>
    <w:p w14:paraId="546B5CBB" w14:textId="77777777" w:rsidR="00DA6DB8" w:rsidRDefault="00DA6DB8" w:rsidP="00DA6DB8">
      <w:r>
        <w:t>IALA M</w:t>
      </w:r>
      <w:r w:rsidR="002B222A">
        <w:t xml:space="preserve">aritime </w:t>
      </w:r>
      <w:r>
        <w:t>B</w:t>
      </w:r>
      <w:r w:rsidR="002B222A">
        <w:t xml:space="preserve">uoyage </w:t>
      </w:r>
      <w:r>
        <w:t>S</w:t>
      </w:r>
      <w:r w:rsidR="002B222A">
        <w:t>ystem</w:t>
      </w:r>
      <w:r>
        <w:t xml:space="preserve"> – Special Mark Light Rhythms and Pictograms</w:t>
      </w:r>
    </w:p>
    <w:p w14:paraId="35D15750" w14:textId="77777777" w:rsidR="00DA6DB8" w:rsidRDefault="00DA6DB8" w:rsidP="00DA6DB8"/>
    <w:p w14:paraId="3B0F68B0" w14:textId="77777777" w:rsidR="00F00616" w:rsidRDefault="00DA6DB8" w:rsidP="00DA6DB8">
      <w:pPr>
        <w:pStyle w:val="BodyText"/>
      </w:pPr>
      <w:r>
        <w:t>Special Marks have a number of applications. Their yellow colour is conspicuous at sea and contributes to their versatility. T</w:t>
      </w:r>
      <w:r w:rsidRPr="00331418">
        <w:t xml:space="preserve">here has </w:t>
      </w:r>
      <w:r>
        <w:t xml:space="preserve">consequently </w:t>
      </w:r>
      <w:r w:rsidRPr="00331418">
        <w:t>been a</w:t>
      </w:r>
      <w:r>
        <w:t>n</w:t>
      </w:r>
      <w:r w:rsidRPr="00331418">
        <w:t xml:space="preserve"> </w:t>
      </w:r>
      <w:r>
        <w:t>increase</w:t>
      </w:r>
      <w:r w:rsidRPr="00331418">
        <w:t xml:space="preserve"> in the use of Special Marks as an ‘all-purpose’ aid</w:t>
      </w:r>
      <w:r>
        <w:t xml:space="preserve">. </w:t>
      </w:r>
      <w:r w:rsidR="00A96DBD">
        <w:t xml:space="preserve">It is possible to distinguish between </w:t>
      </w:r>
      <w:r w:rsidR="0012670B">
        <w:t>different</w:t>
      </w:r>
      <w:r w:rsidR="00BC6709">
        <w:t xml:space="preserve"> S</w:t>
      </w:r>
      <w:r w:rsidR="00CC4ACC">
        <w:t>pecial Marks b</w:t>
      </w:r>
      <w:r w:rsidR="00A96DBD">
        <w:t xml:space="preserve">y the use of </w:t>
      </w:r>
      <w:r w:rsidR="00F00616">
        <w:t>light rhythms or pictograms</w:t>
      </w:r>
      <w:r w:rsidR="005E5842">
        <w:t xml:space="preserve"> (anchorage, aquaculture, cable protection</w:t>
      </w:r>
      <w:r w:rsidR="0012670B">
        <w:t>,</w:t>
      </w:r>
      <w:r w:rsidR="005E5842">
        <w:t xml:space="preserve"> prohibited area etc.)</w:t>
      </w:r>
      <w:r w:rsidR="00F00616">
        <w:t xml:space="preserve">. Any light rhythm can be used except those reserved for cardinal, isolated danger and safe water </w:t>
      </w:r>
      <w:r w:rsidR="00F00616">
        <w:lastRenderedPageBreak/>
        <w:t xml:space="preserve">marks. The use of pictograms </w:t>
      </w:r>
      <w:r w:rsidR="007C60A1">
        <w:t>is authorized, as defined by a Competent A</w:t>
      </w:r>
      <w:r w:rsidR="00F00616">
        <w:t xml:space="preserve">uthority. In such a situation the light rhythms and pictograms for a certain application may differ </w:t>
      </w:r>
      <w:r w:rsidR="0012670B">
        <w:t xml:space="preserve">greatly </w:t>
      </w:r>
      <w:r w:rsidR="00F00616">
        <w:t>worldwide, and may cause confusion for mariners.</w:t>
      </w:r>
    </w:p>
    <w:p w14:paraId="592FEC7F" w14:textId="77777777" w:rsidR="00DA6DB8" w:rsidRDefault="00DA6DB8" w:rsidP="00DA6DB8">
      <w:pPr>
        <w:pStyle w:val="BodyText"/>
      </w:pPr>
      <w:r>
        <w:t>I</w:t>
      </w:r>
      <w:r w:rsidRPr="00331418">
        <w:t xml:space="preserve">t is </w:t>
      </w:r>
      <w:r w:rsidR="00F00616">
        <w:t xml:space="preserve">suggested to develop </w:t>
      </w:r>
      <w:r w:rsidR="00BC6709">
        <w:t>supplementary guidance on</w:t>
      </w:r>
      <w:r w:rsidR="00F00616">
        <w:t xml:space="preserve"> light rhythms and pictograms for Spec</w:t>
      </w:r>
      <w:r w:rsidR="00BC6709">
        <w:t>ial Marks to achieve uniformity, and t</w:t>
      </w:r>
      <w:r>
        <w:t>he Council is invited to consider including the following in the forthcoming work programme:</w:t>
      </w:r>
    </w:p>
    <w:p w14:paraId="1E90A5B2" w14:textId="77777777" w:rsidR="00DA6DB8" w:rsidRDefault="00DA6DB8" w:rsidP="00E734C9">
      <w:pPr>
        <w:pStyle w:val="BodyText"/>
        <w:ind w:left="567"/>
      </w:pPr>
      <w:r>
        <w:t>Collect information on existing national uses of light rhythms and pictograms for Special Marks, and to develop guidance as necessary.</w:t>
      </w:r>
    </w:p>
    <w:p w14:paraId="2E31642C" w14:textId="77777777" w:rsidR="00A446C9" w:rsidRDefault="00A446C9" w:rsidP="00A446C9">
      <w:pPr>
        <w:pStyle w:val="Heading1"/>
      </w:pPr>
      <w:r>
        <w:t>Action requested of the Committee</w:t>
      </w:r>
    </w:p>
    <w:p w14:paraId="37DCC2E7" w14:textId="77777777" w:rsidR="00F25BF4" w:rsidRDefault="00F25BF4" w:rsidP="00A446C9">
      <w:pPr>
        <w:pStyle w:val="BodyText"/>
      </w:pPr>
      <w:r>
        <w:t>The Committee is requested to:</w:t>
      </w:r>
    </w:p>
    <w:p w14:paraId="2B2DE65F" w14:textId="77777777" w:rsidR="00F25BF4" w:rsidRDefault="002B222A" w:rsidP="00362CD9">
      <w:pPr>
        <w:pStyle w:val="List1"/>
      </w:pPr>
      <w:r>
        <w:t>Note the amendme</w:t>
      </w:r>
      <w:r w:rsidR="007C60A1">
        <w:t>nts to the NAVGUIDE in section 2</w:t>
      </w:r>
      <w:r>
        <w:t>.</w:t>
      </w:r>
    </w:p>
    <w:p w14:paraId="1AEB84CF" w14:textId="77777777" w:rsidR="004D1D85" w:rsidRPr="004D1D85" w:rsidRDefault="002B222A" w:rsidP="006C2D78">
      <w:pPr>
        <w:pStyle w:val="List1"/>
        <w:numPr>
          <w:ilvl w:val="0"/>
          <w:numId w:val="0"/>
        </w:numPr>
        <w:ind w:left="360"/>
        <w:jc w:val="left"/>
      </w:pPr>
      <w:r>
        <w:t>Consider the proposal to develop supplementary guidance for the use of Special Marks as</w:t>
      </w:r>
      <w:r w:rsidR="007C60A1">
        <w:t xml:space="preserve"> mentioned in section 3</w:t>
      </w:r>
      <w:r w:rsidR="003B0F90">
        <w:t>.</w:t>
      </w:r>
    </w:p>
    <w:sectPr w:rsidR="004D1D85" w:rsidRPr="004D1D85"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80C95" w14:textId="77777777" w:rsidR="00853431" w:rsidRDefault="00853431" w:rsidP="00362CD9">
      <w:r>
        <w:separator/>
      </w:r>
    </w:p>
  </w:endnote>
  <w:endnote w:type="continuationSeparator" w:id="0">
    <w:p w14:paraId="70815E5D" w14:textId="77777777" w:rsidR="00853431" w:rsidRDefault="0085343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0BE9A" w14:textId="77777777" w:rsidR="00853431" w:rsidRDefault="00853431">
    <w:pPr>
      <w:pStyle w:val="Footer"/>
    </w:pPr>
    <w:r>
      <w:tab/>
    </w:r>
    <w:r>
      <w:fldChar w:fldCharType="begin"/>
    </w:r>
    <w:r>
      <w:instrText xml:space="preserve"> PAGE   \* MERGEFORMAT </w:instrText>
    </w:r>
    <w:r>
      <w:fldChar w:fldCharType="separate"/>
    </w:r>
    <w:r w:rsidR="00233395">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2B8D0" w14:textId="77777777" w:rsidR="00853431" w:rsidRDefault="00853431" w:rsidP="00362CD9">
      <w:r>
        <w:separator/>
      </w:r>
    </w:p>
  </w:footnote>
  <w:footnote w:type="continuationSeparator" w:id="0">
    <w:p w14:paraId="36DBDBFF" w14:textId="77777777" w:rsidR="00853431" w:rsidRDefault="00853431" w:rsidP="00362CD9">
      <w:r>
        <w:continuationSeparator/>
      </w:r>
    </w:p>
  </w:footnote>
  <w:footnote w:id="1">
    <w:p w14:paraId="3196D286" w14:textId="77777777" w:rsidR="00853431" w:rsidRPr="00D17788" w:rsidRDefault="00853431" w:rsidP="00A307D8">
      <w:pPr>
        <w:pStyle w:val="FootnoteText"/>
        <w:rPr>
          <w:lang w:val="nb-NO"/>
        </w:rPr>
      </w:pPr>
      <w:r>
        <w:rPr>
          <w:rStyle w:val="FootnoteReference"/>
        </w:rPr>
        <w:footnoteRef/>
      </w:r>
      <w:r>
        <w:t xml:space="preserve"> </w:t>
      </w:r>
      <w:proofErr w:type="spellStart"/>
      <w:r>
        <w:rPr>
          <w:lang w:val="nb-NO"/>
        </w:rPr>
        <w:t>Adopted</w:t>
      </w:r>
      <w:proofErr w:type="spellEnd"/>
      <w:r>
        <w:rPr>
          <w:lang w:val="nb-NO"/>
        </w:rPr>
        <w:t xml:space="preserve"> by IMO (SN.1/Circ.297)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00374" w14:textId="77777777" w:rsidR="00853431" w:rsidRDefault="00853431" w:rsidP="005E262D">
    <w:pPr>
      <w:pStyle w:val="Header"/>
      <w:jc w:val="right"/>
    </w:pPr>
    <w:r>
      <w:t>ANM20/WG2/WP1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C06385A"/>
    <w:multiLevelType w:val="hybridMultilevel"/>
    <w:tmpl w:val="291C901C"/>
    <w:lvl w:ilvl="0" w:tplc="E91A333A">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3645AF6"/>
    <w:multiLevelType w:val="hybridMultilevel"/>
    <w:tmpl w:val="B1E8BD3E"/>
    <w:lvl w:ilvl="0" w:tplc="E91A333A">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4"/>
  </w:num>
  <w:num w:numId="6">
    <w:abstractNumId w:val="4"/>
  </w:num>
  <w:num w:numId="7">
    <w:abstractNumId w:val="25"/>
  </w:num>
  <w:num w:numId="8">
    <w:abstractNumId w:val="10"/>
  </w:num>
  <w:num w:numId="9">
    <w:abstractNumId w:val="8"/>
  </w:num>
  <w:num w:numId="10">
    <w:abstractNumId w:val="16"/>
  </w:num>
  <w:num w:numId="11">
    <w:abstractNumId w:val="15"/>
  </w:num>
  <w:num w:numId="12">
    <w:abstractNumId w:val="13"/>
  </w:num>
  <w:num w:numId="13">
    <w:abstractNumId w:val="24"/>
  </w:num>
  <w:num w:numId="14">
    <w:abstractNumId w:val="5"/>
  </w:num>
  <w:num w:numId="15">
    <w:abstractNumId w:val="26"/>
  </w:num>
  <w:num w:numId="16">
    <w:abstractNumId w:val="12"/>
  </w:num>
  <w:num w:numId="17">
    <w:abstractNumId w:val="6"/>
  </w:num>
  <w:num w:numId="18">
    <w:abstractNumId w:val="19"/>
  </w:num>
  <w:num w:numId="19">
    <w:abstractNumId w:val="12"/>
  </w:num>
  <w:num w:numId="20">
    <w:abstractNumId w:val="12"/>
  </w:num>
  <w:num w:numId="21">
    <w:abstractNumId w:val="12"/>
  </w:num>
  <w:num w:numId="22">
    <w:abstractNumId w:val="12"/>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3"/>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7"/>
  </w:num>
  <w:num w:numId="4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40BF7"/>
    <w:rsid w:val="000005D3"/>
    <w:rsid w:val="00003044"/>
    <w:rsid w:val="000058F9"/>
    <w:rsid w:val="00006AED"/>
    <w:rsid w:val="0004700E"/>
    <w:rsid w:val="00070C13"/>
    <w:rsid w:val="00084F33"/>
    <w:rsid w:val="0009618C"/>
    <w:rsid w:val="000A77A7"/>
    <w:rsid w:val="000C1B3E"/>
    <w:rsid w:val="00116814"/>
    <w:rsid w:val="0012670B"/>
    <w:rsid w:val="00177F4D"/>
    <w:rsid w:val="00180DDA"/>
    <w:rsid w:val="001B2A2D"/>
    <w:rsid w:val="001B737D"/>
    <w:rsid w:val="001C44A3"/>
    <w:rsid w:val="001F528A"/>
    <w:rsid w:val="001F704E"/>
    <w:rsid w:val="002125B0"/>
    <w:rsid w:val="00233395"/>
    <w:rsid w:val="00243228"/>
    <w:rsid w:val="00251483"/>
    <w:rsid w:val="00255CAA"/>
    <w:rsid w:val="00263BD9"/>
    <w:rsid w:val="00264305"/>
    <w:rsid w:val="002A0346"/>
    <w:rsid w:val="002A4487"/>
    <w:rsid w:val="002B222A"/>
    <w:rsid w:val="002B24E6"/>
    <w:rsid w:val="002D3E8B"/>
    <w:rsid w:val="002D4575"/>
    <w:rsid w:val="002D5C0C"/>
    <w:rsid w:val="002E6B74"/>
    <w:rsid w:val="00356CD0"/>
    <w:rsid w:val="00362CD9"/>
    <w:rsid w:val="003761CA"/>
    <w:rsid w:val="00380DAF"/>
    <w:rsid w:val="0039466B"/>
    <w:rsid w:val="00396A7A"/>
    <w:rsid w:val="003B0F90"/>
    <w:rsid w:val="003B1831"/>
    <w:rsid w:val="003B1BAA"/>
    <w:rsid w:val="003B28F5"/>
    <w:rsid w:val="003B594C"/>
    <w:rsid w:val="003B7B7D"/>
    <w:rsid w:val="003C7A2A"/>
    <w:rsid w:val="003D4D57"/>
    <w:rsid w:val="003D69D0"/>
    <w:rsid w:val="003F0E8A"/>
    <w:rsid w:val="003F2918"/>
    <w:rsid w:val="003F430E"/>
    <w:rsid w:val="00414BAF"/>
    <w:rsid w:val="00417B61"/>
    <w:rsid w:val="004238EB"/>
    <w:rsid w:val="004661AD"/>
    <w:rsid w:val="00471104"/>
    <w:rsid w:val="004A1869"/>
    <w:rsid w:val="004B67DB"/>
    <w:rsid w:val="004D1D85"/>
    <w:rsid w:val="004D3C3A"/>
    <w:rsid w:val="005107EB"/>
    <w:rsid w:val="00521345"/>
    <w:rsid w:val="00526DF0"/>
    <w:rsid w:val="00545CC4"/>
    <w:rsid w:val="00551FFF"/>
    <w:rsid w:val="00552B52"/>
    <w:rsid w:val="00556437"/>
    <w:rsid w:val="005607A2"/>
    <w:rsid w:val="00562EE7"/>
    <w:rsid w:val="0057198B"/>
    <w:rsid w:val="00591D9C"/>
    <w:rsid w:val="005B32A3"/>
    <w:rsid w:val="005C566C"/>
    <w:rsid w:val="005C7E69"/>
    <w:rsid w:val="005E017F"/>
    <w:rsid w:val="005E262D"/>
    <w:rsid w:val="005E2F9A"/>
    <w:rsid w:val="005E56B6"/>
    <w:rsid w:val="005E5842"/>
    <w:rsid w:val="005F0843"/>
    <w:rsid w:val="005F7E20"/>
    <w:rsid w:val="00615FDE"/>
    <w:rsid w:val="0063283D"/>
    <w:rsid w:val="006652C3"/>
    <w:rsid w:val="00691FD0"/>
    <w:rsid w:val="006B2642"/>
    <w:rsid w:val="006C2D78"/>
    <w:rsid w:val="006C5948"/>
    <w:rsid w:val="006F2A74"/>
    <w:rsid w:val="0070699B"/>
    <w:rsid w:val="007118F5"/>
    <w:rsid w:val="00712AA4"/>
    <w:rsid w:val="00721AA1"/>
    <w:rsid w:val="00724A0B"/>
    <w:rsid w:val="007547F8"/>
    <w:rsid w:val="00765622"/>
    <w:rsid w:val="00770B6C"/>
    <w:rsid w:val="0077319C"/>
    <w:rsid w:val="00783FEA"/>
    <w:rsid w:val="00784825"/>
    <w:rsid w:val="00787881"/>
    <w:rsid w:val="00795467"/>
    <w:rsid w:val="007B0F70"/>
    <w:rsid w:val="007B377F"/>
    <w:rsid w:val="007B4A50"/>
    <w:rsid w:val="007C60A1"/>
    <w:rsid w:val="0082480E"/>
    <w:rsid w:val="00847FA1"/>
    <w:rsid w:val="00850293"/>
    <w:rsid w:val="00851373"/>
    <w:rsid w:val="00851BA6"/>
    <w:rsid w:val="00853431"/>
    <w:rsid w:val="0085654D"/>
    <w:rsid w:val="00861160"/>
    <w:rsid w:val="00894607"/>
    <w:rsid w:val="008A0117"/>
    <w:rsid w:val="008A176B"/>
    <w:rsid w:val="008A4653"/>
    <w:rsid w:val="008A50CC"/>
    <w:rsid w:val="008D0528"/>
    <w:rsid w:val="008D1694"/>
    <w:rsid w:val="008D45DF"/>
    <w:rsid w:val="008D79CB"/>
    <w:rsid w:val="008F07BC"/>
    <w:rsid w:val="008F5F28"/>
    <w:rsid w:val="0092692B"/>
    <w:rsid w:val="00943E9C"/>
    <w:rsid w:val="00953F4D"/>
    <w:rsid w:val="00960BB8"/>
    <w:rsid w:val="00964F5C"/>
    <w:rsid w:val="009837B6"/>
    <w:rsid w:val="009A04DF"/>
    <w:rsid w:val="009A14F0"/>
    <w:rsid w:val="00A0389B"/>
    <w:rsid w:val="00A307D8"/>
    <w:rsid w:val="00A446C9"/>
    <w:rsid w:val="00A447E9"/>
    <w:rsid w:val="00A50477"/>
    <w:rsid w:val="00A635D6"/>
    <w:rsid w:val="00A8335C"/>
    <w:rsid w:val="00A83B69"/>
    <w:rsid w:val="00A8553A"/>
    <w:rsid w:val="00A93AED"/>
    <w:rsid w:val="00A96DBD"/>
    <w:rsid w:val="00AC0732"/>
    <w:rsid w:val="00B226F2"/>
    <w:rsid w:val="00B274DF"/>
    <w:rsid w:val="00B306D3"/>
    <w:rsid w:val="00B56BDF"/>
    <w:rsid w:val="00B85CD6"/>
    <w:rsid w:val="00B90A27"/>
    <w:rsid w:val="00B9554D"/>
    <w:rsid w:val="00BB2B9F"/>
    <w:rsid w:val="00BC214E"/>
    <w:rsid w:val="00BC6709"/>
    <w:rsid w:val="00BD20CB"/>
    <w:rsid w:val="00BD3CB8"/>
    <w:rsid w:val="00BD4E6F"/>
    <w:rsid w:val="00BF4DCE"/>
    <w:rsid w:val="00C05C75"/>
    <w:rsid w:val="00C05CE5"/>
    <w:rsid w:val="00C40BF7"/>
    <w:rsid w:val="00C6171E"/>
    <w:rsid w:val="00C85D9D"/>
    <w:rsid w:val="00CA6F2C"/>
    <w:rsid w:val="00CC4ACC"/>
    <w:rsid w:val="00CF1871"/>
    <w:rsid w:val="00D1133E"/>
    <w:rsid w:val="00D17A34"/>
    <w:rsid w:val="00D2552A"/>
    <w:rsid w:val="00D26628"/>
    <w:rsid w:val="00D332B3"/>
    <w:rsid w:val="00D55207"/>
    <w:rsid w:val="00D574A9"/>
    <w:rsid w:val="00D92B45"/>
    <w:rsid w:val="00D95962"/>
    <w:rsid w:val="00D97577"/>
    <w:rsid w:val="00DA6DB8"/>
    <w:rsid w:val="00DC389B"/>
    <w:rsid w:val="00DE2A3E"/>
    <w:rsid w:val="00DE2FEE"/>
    <w:rsid w:val="00E00BE9"/>
    <w:rsid w:val="00E22A11"/>
    <w:rsid w:val="00E55927"/>
    <w:rsid w:val="00E734C9"/>
    <w:rsid w:val="00E7505F"/>
    <w:rsid w:val="00E77127"/>
    <w:rsid w:val="00E85778"/>
    <w:rsid w:val="00E912A6"/>
    <w:rsid w:val="00EA4844"/>
    <w:rsid w:val="00EA4D9C"/>
    <w:rsid w:val="00EB75EE"/>
    <w:rsid w:val="00EE4443"/>
    <w:rsid w:val="00EE4C1D"/>
    <w:rsid w:val="00EF3685"/>
    <w:rsid w:val="00F00616"/>
    <w:rsid w:val="00F159EB"/>
    <w:rsid w:val="00F25BF4"/>
    <w:rsid w:val="00F267DB"/>
    <w:rsid w:val="00F31A40"/>
    <w:rsid w:val="00F46F6F"/>
    <w:rsid w:val="00F60608"/>
    <w:rsid w:val="00F62217"/>
    <w:rsid w:val="00FB17A9"/>
    <w:rsid w:val="00FB6F75"/>
    <w:rsid w:val="00FC0EB3"/>
    <w:rsid w:val="00FF1E2B"/>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7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39"/>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customStyle="1" w:styleId="PARAGRAPH">
    <w:name w:val="PARAGRAPH"/>
    <w:rsid w:val="00263BD9"/>
    <w:pPr>
      <w:snapToGrid w:val="0"/>
      <w:spacing w:before="60" w:after="120"/>
      <w:jc w:val="both"/>
    </w:pPr>
    <w:rPr>
      <w:rFonts w:ascii="Times New Roman" w:eastAsia="Times New Roman" w:hAnsi="Times New Roman"/>
      <w:spacing w:val="8"/>
      <w:sz w:val="24"/>
      <w:szCs w:val="24"/>
      <w:lang w:eastAsia="zh-CN"/>
    </w:rPr>
  </w:style>
  <w:style w:type="paragraph" w:customStyle="1" w:styleId="ReferenceNote">
    <w:name w:val="Reference Note"/>
    <w:basedOn w:val="Normal"/>
    <w:rsid w:val="00263BD9"/>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ind w:right="198"/>
      <w:jc w:val="both"/>
    </w:pPr>
    <w:rPr>
      <w:rFonts w:eastAsia="Times New Roman" w:cs="Arial"/>
      <w:bCs/>
      <w:szCs w:val="24"/>
      <w:lang w:eastAsia="ar-SA"/>
    </w:rPr>
  </w:style>
  <w:style w:type="paragraph" w:customStyle="1" w:styleId="IALABodyText">
    <w:name w:val="IALA BodyText"/>
    <w:basedOn w:val="Normal"/>
    <w:rsid w:val="00263BD9"/>
    <w:pPr>
      <w:spacing w:before="120" w:after="120"/>
    </w:pPr>
    <w:rPr>
      <w:rFonts w:ascii="Times New Roman" w:eastAsia="Times New Roman" w:hAnsi="Times New Roman" w:cs="Times New Roman"/>
      <w:b/>
      <w:sz w:val="24"/>
      <w:szCs w:val="20"/>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numbering" w:customStyle="1" w:styleId="PARAGRAPH">
    <w:name w:val="Artikkelavsnitt"/>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file:///C:\Users\johwes01\AppData\Local\Microsoft\Windows\Temporary%20Internet%20Files\Low\Content.IE5\Documents%20and%20Settings\gpb\My%20Documents\IALA\ANM%20Cttee\ANM13\ANM11\ANM10\IALA%20MBS" TargetMode="External"/><Relationship Id="rId9" Type="http://schemas.openxmlformats.org/officeDocument/2006/relationships/hyperlink" Target="file:///C:\Users\johwes01\AppData\Local\Microsoft\Windows\Temporary%20Internet%20Files\Low\Content.IE5\Documents%20and%20Settings\gpb\My%20Documents\IALA\ANM%20Cttee\ANM13\ANM11\ANM10\IALA%20Guidelines\1046-MarkNewWrecks-2005.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3</Pages>
  <Words>1012</Words>
  <Characters>5775</Characters>
  <Application>Microsoft Macintosh Word</Application>
  <DocSecurity>0</DocSecurity>
  <Lines>48</Lines>
  <Paragraphs>13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
  <cp:revision>24</cp:revision>
  <dcterms:created xsi:type="dcterms:W3CDTF">2013-04-23T23:11:00Z</dcterms:created>
  <dcterms:modified xsi:type="dcterms:W3CDTF">2013-04-25T13:55:00Z</dcterms:modified>
</cp:coreProperties>
</file>